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CA" w14:textId="738AC7EE" w:rsidR="00D43D33" w:rsidRPr="00FD0B6D" w:rsidRDefault="00D43D33" w:rsidP="00D43D33">
      <w:pPr>
        <w:jc w:val="center"/>
        <w:rPr>
          <w:rFonts w:ascii="Calibri" w:hAnsi="Calibri" w:cs="Calibri"/>
          <w:sz w:val="40"/>
          <w:szCs w:val="40"/>
        </w:rPr>
      </w:pPr>
      <w:r w:rsidRPr="00FD0B6D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2E24D9CB" wp14:editId="715A1E58">
            <wp:extent cx="1828800" cy="2213755"/>
            <wp:effectExtent l="0" t="0" r="0" b="0"/>
            <wp:docPr id="1243517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17746" name="Obraz 12435177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838" cy="22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C1" w14:textId="1DF8D6C9" w:rsidR="00D43D33" w:rsidRPr="00FD0B6D" w:rsidRDefault="00D43D33" w:rsidP="001A63FF">
      <w:pPr>
        <w:jc w:val="both"/>
        <w:rPr>
          <w:rFonts w:ascii="Calibri" w:hAnsi="Calibri" w:cs="Calibri"/>
        </w:rPr>
      </w:pPr>
      <w:r w:rsidRPr="00FD0B6D">
        <w:rPr>
          <w:rFonts w:ascii="Calibri" w:hAnsi="Calibri" w:cs="Calibri"/>
        </w:rPr>
        <w:t xml:space="preserve">Warszawa, </w:t>
      </w:r>
      <w:r w:rsidR="002B14EC">
        <w:rPr>
          <w:rFonts w:ascii="Calibri" w:hAnsi="Calibri" w:cs="Calibri"/>
        </w:rPr>
        <w:t xml:space="preserve">15 lipca </w:t>
      </w:r>
      <w:r w:rsidR="00C41A87" w:rsidRPr="00FD0B6D">
        <w:rPr>
          <w:rFonts w:ascii="Calibri" w:hAnsi="Calibri" w:cs="Calibri"/>
        </w:rPr>
        <w:t>2026</w:t>
      </w:r>
    </w:p>
    <w:p w14:paraId="3D7A4A11" w14:textId="77777777" w:rsidR="00C41A87" w:rsidRPr="00FD0B6D" w:rsidRDefault="00C41A87" w:rsidP="001A63FF">
      <w:pPr>
        <w:jc w:val="both"/>
        <w:rPr>
          <w:rFonts w:ascii="Calibri" w:hAnsi="Calibri" w:cs="Calibri"/>
        </w:rPr>
      </w:pPr>
    </w:p>
    <w:p w14:paraId="05B6D4DF" w14:textId="4790FCE9" w:rsidR="00D43D33" w:rsidRPr="00FD0B6D" w:rsidRDefault="002B14EC" w:rsidP="00D43D33">
      <w:pPr>
        <w:spacing w:after="0" w:line="276" w:lineRule="auto"/>
        <w:jc w:val="both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BCC: PRODUKCJA LEKÓW I SUBSTANCJI CZYNNYCH POWINNA WRÓCIĆ DO POLSKI</w:t>
      </w:r>
    </w:p>
    <w:p w14:paraId="3AA242F5" w14:textId="77777777" w:rsidR="00CE29EF" w:rsidRPr="00FD0B6D" w:rsidRDefault="00CE29EF" w:rsidP="00D43D33">
      <w:pPr>
        <w:spacing w:after="0" w:line="276" w:lineRule="auto"/>
        <w:jc w:val="both"/>
        <w:rPr>
          <w:rFonts w:ascii="Calibri" w:hAnsi="Calibri" w:cs="Calibri"/>
        </w:rPr>
      </w:pPr>
    </w:p>
    <w:p w14:paraId="7AD20A68" w14:textId="140438A0" w:rsidR="002B14EC" w:rsidRPr="002B14EC" w:rsidRDefault="002B14EC" w:rsidP="002B14EC">
      <w:pPr>
        <w:jc w:val="both"/>
        <w:rPr>
          <w:rFonts w:ascii="Calibri" w:hAnsi="Calibri" w:cs="Calibri"/>
          <w:b/>
          <w:bCs/>
        </w:rPr>
      </w:pPr>
      <w:r w:rsidRPr="002B14EC">
        <w:rPr>
          <w:rFonts w:ascii="Calibri" w:hAnsi="Calibri" w:cs="Calibri"/>
          <w:b/>
          <w:bCs/>
        </w:rPr>
        <w:t>Komisja Zdrowia i Rynku Aptecznego B</w:t>
      </w:r>
      <w:r>
        <w:rPr>
          <w:rFonts w:ascii="Calibri" w:hAnsi="Calibri" w:cs="Calibri"/>
          <w:b/>
          <w:bCs/>
        </w:rPr>
        <w:t xml:space="preserve">usiness Centre Club </w:t>
      </w:r>
      <w:r w:rsidRPr="002B14EC">
        <w:rPr>
          <w:rFonts w:ascii="Calibri" w:hAnsi="Calibri" w:cs="Calibri"/>
          <w:b/>
          <w:bCs/>
        </w:rPr>
        <w:t>przygotowała stanowisko wobec komunikatu Komisji Europejskiej „Wzmacnianie globalnej odporności”. - Kierowanie unijnych środków na budowę fabryk w krajach trzecich bez wsparcia dla reindustrializacji i re-shoringu w UE oznacza subsydiowanie przyszłych konkurentów – podkreśla Michał Modro, szef Komisji.</w:t>
      </w:r>
    </w:p>
    <w:p w14:paraId="66E6368F" w14:textId="77777777" w:rsidR="002B14EC" w:rsidRPr="002B14EC" w:rsidRDefault="002B14EC" w:rsidP="002B14EC">
      <w:p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</w:rPr>
        <w:t>Komunikat KECOM(2026)197 pt. „Wzmacnianie globalnej odporności” to dokument strategiczny przyjęty 13 maja 2026 r. Nie ma on mocy powszechnie obowiązującej i nie nakłada bezpośrednich obowiązków regulacyjnych na państwa członkowskie ani przedsiębiorstwa – jednak pełni kluczową funkcję wytyczną i prawotwórczą. Określa bowiem agendę polityczną UE w zakresie zdrowia globalnego, zapowiada przyszłe inicjatywy legislacyjne (dyrektywy/rozporządzenia) i wyznacza kierunki alokacji funduszy unijnych.</w:t>
      </w:r>
    </w:p>
    <w:p w14:paraId="28C7F2AD" w14:textId="77777777" w:rsidR="002B14EC" w:rsidRPr="002B14EC" w:rsidRDefault="002B14EC" w:rsidP="002B14EC">
      <w:p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</w:rPr>
        <w:t>KE postawiła kilka diagnoz. Najważniejsze to:</w:t>
      </w:r>
    </w:p>
    <w:p w14:paraId="19B5B1D0" w14:textId="77777777" w:rsidR="002B14EC" w:rsidRPr="002B14EC" w:rsidRDefault="002B14EC" w:rsidP="002B14EC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Postęp i nowe bariery:</w:t>
      </w:r>
      <w:r w:rsidRPr="002B14EC">
        <w:rPr>
          <w:rFonts w:ascii="Calibri" w:hAnsi="Calibri" w:cs="Calibri"/>
        </w:rPr>
        <w:t xml:space="preserve"> Komisja wskazuje na globalną poprawę zdrowia w ciągu ostatnich 25 lat (m.in. wzrost średniej długości życia o ponad 5 lat, spadek umieralności dzieci o 50% i matek o 40%). Trend ten jednak hamuje z powodu barier geopolitycznych i epidemiologicznych.</w:t>
      </w:r>
    </w:p>
    <w:p w14:paraId="6A733FAB" w14:textId="77777777" w:rsidR="002B14EC" w:rsidRPr="002B14EC" w:rsidRDefault="002B14EC" w:rsidP="002B14EC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Geopolityzacja zdrowia:</w:t>
      </w:r>
      <w:r w:rsidRPr="002B14EC">
        <w:rPr>
          <w:rFonts w:ascii="Calibri" w:hAnsi="Calibri" w:cs="Calibri"/>
        </w:rPr>
        <w:t xml:space="preserve"> Następuje odwrót od multilateralizmu na rzecz relacji transakcyjnych. Narasta też problem finansowania – oficjalna pomoc rozwojowa (ODA) spadła z 45,8 mld EUR do 36,1 mld EUR.</w:t>
      </w:r>
    </w:p>
    <w:p w14:paraId="625E6B6B" w14:textId="77777777" w:rsidR="002B14EC" w:rsidRPr="002B14EC" w:rsidRDefault="002B14EC" w:rsidP="002B14EC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lastRenderedPageBreak/>
        <w:t>Zależność i łańcuchy dostaw:</w:t>
      </w:r>
      <w:r w:rsidRPr="002B14EC">
        <w:rPr>
          <w:rFonts w:ascii="Calibri" w:hAnsi="Calibri" w:cs="Calibri"/>
        </w:rPr>
        <w:t xml:space="preserve"> Afryka pozostaje skrajnie uzależniona od zewnętrznych dostaw produktów medycznych (99% szczepionek, 70-90% leków). Unia chce na to odpowiedzieć m.in. poprzez instrumenty wsparcia takie jak MAV+ (budżet 2 mld EUR).</w:t>
      </w:r>
    </w:p>
    <w:p w14:paraId="5B4BE214" w14:textId="77777777" w:rsidR="002B14EC" w:rsidRPr="002B14EC" w:rsidRDefault="002B14EC" w:rsidP="002B14EC">
      <w:pPr>
        <w:jc w:val="both"/>
        <w:rPr>
          <w:rFonts w:ascii="Calibri" w:hAnsi="Calibri" w:cs="Calibri"/>
          <w:b/>
          <w:bCs/>
        </w:rPr>
      </w:pPr>
      <w:r w:rsidRPr="002B14EC">
        <w:rPr>
          <w:rFonts w:ascii="Calibri" w:hAnsi="Calibri" w:cs="Calibri"/>
          <w:b/>
          <w:bCs/>
        </w:rPr>
        <w:t>Główny uwagi Komisji Zdrowia i Rynku Aptecznego BCC</w:t>
      </w:r>
    </w:p>
    <w:p w14:paraId="092CFCED" w14:textId="00FD0887" w:rsidR="002B14EC" w:rsidRPr="002B14EC" w:rsidRDefault="002B14EC" w:rsidP="002B14EC">
      <w:p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i/>
          <w:iCs/>
        </w:rPr>
        <w:t>- Krajowy przemysł farmaceutyczny (reprezentowany m.in. przez PZPPF) zwraca uwagę na poważną asymetrię w podejściu do suwerenności zdrowotnej. Komunikat KE kładzie nacisk na budowanie suwerenności lekowej państw trzecich, całkowicie pomijając krytyczną zależność samej Unii Europejskiej od zewnętrznych dostawców</w:t>
      </w:r>
      <w:r w:rsidRPr="002B14EC">
        <w:rPr>
          <w:rFonts w:ascii="Calibri" w:hAnsi="Calibri" w:cs="Calibri"/>
        </w:rPr>
        <w:t xml:space="preserve"> – wskazuje </w:t>
      </w:r>
      <w:r w:rsidRPr="002B14EC">
        <w:rPr>
          <w:rFonts w:ascii="Calibri" w:hAnsi="Calibri" w:cs="Calibri"/>
          <w:b/>
          <w:bCs/>
        </w:rPr>
        <w:t>Michał Modro, przewodniczący Komisji Zdrowia i Rynku Aptecznego Business Centre Club</w:t>
      </w:r>
      <w:r w:rsidRPr="002B14EC">
        <w:rPr>
          <w:rFonts w:ascii="Calibri" w:hAnsi="Calibri" w:cs="Calibri"/>
        </w:rPr>
        <w:t xml:space="preserve"> </w:t>
      </w:r>
    </w:p>
    <w:p w14:paraId="1DEFB38B" w14:textId="77777777" w:rsidR="002B14EC" w:rsidRPr="002B14EC" w:rsidRDefault="002B14EC" w:rsidP="002B14EC">
      <w:pPr>
        <w:tabs>
          <w:tab w:val="num" w:pos="720"/>
        </w:tabs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</w:rPr>
        <w:t xml:space="preserve">Udział producentów z UE w certyfikatach (CEP) dla substancji czynnych (API) spadł z </w:t>
      </w:r>
      <w:r w:rsidRPr="002B14EC">
        <w:rPr>
          <w:rFonts w:ascii="Calibri" w:hAnsi="Calibri" w:cs="Calibri"/>
          <w:b/>
          <w:bCs/>
        </w:rPr>
        <w:t>39,2%</w:t>
      </w:r>
      <w:r w:rsidRPr="002B14EC">
        <w:rPr>
          <w:rFonts w:ascii="Calibri" w:hAnsi="Calibri" w:cs="Calibri"/>
        </w:rPr>
        <w:t xml:space="preserve"> w 2020 r. do zaledwie </w:t>
      </w:r>
      <w:r w:rsidRPr="002B14EC">
        <w:rPr>
          <w:rFonts w:ascii="Calibri" w:hAnsi="Calibri" w:cs="Calibri"/>
          <w:b/>
          <w:bCs/>
        </w:rPr>
        <w:t>24,8%</w:t>
      </w:r>
      <w:r w:rsidRPr="002B14EC">
        <w:rPr>
          <w:rFonts w:ascii="Calibri" w:hAnsi="Calibri" w:cs="Calibri"/>
        </w:rPr>
        <w:t xml:space="preserve"> w 2025 r. Indie i Chiny kontrolują obecnie ok. </w:t>
      </w:r>
      <w:r w:rsidRPr="002B14EC">
        <w:rPr>
          <w:rFonts w:ascii="Calibri" w:hAnsi="Calibri" w:cs="Calibri"/>
          <w:b/>
          <w:bCs/>
        </w:rPr>
        <w:t>60%</w:t>
      </w:r>
      <w:r w:rsidRPr="002B14EC">
        <w:rPr>
          <w:rFonts w:ascii="Calibri" w:hAnsi="Calibri" w:cs="Calibri"/>
        </w:rPr>
        <w:t xml:space="preserve"> światowej wartości produkcji API. </w:t>
      </w:r>
      <w:r w:rsidRPr="002B14EC">
        <w:rPr>
          <w:rFonts w:ascii="Calibri" w:hAnsi="Calibri" w:cs="Calibri"/>
          <w:b/>
          <w:bCs/>
        </w:rPr>
        <w:t>83%</w:t>
      </w:r>
      <w:r w:rsidRPr="002B14EC">
        <w:rPr>
          <w:rFonts w:ascii="Calibri" w:hAnsi="Calibri" w:cs="Calibri"/>
        </w:rPr>
        <w:t xml:space="preserve"> krytycznych leków generycznych w UE zależy od jednego podmiotu w stopniu większym niż 60%, a </w:t>
      </w:r>
      <w:r w:rsidRPr="002B14EC">
        <w:rPr>
          <w:rFonts w:ascii="Calibri" w:hAnsi="Calibri" w:cs="Calibri"/>
          <w:b/>
          <w:bCs/>
        </w:rPr>
        <w:t>46%</w:t>
      </w:r>
      <w:r w:rsidRPr="002B14EC">
        <w:rPr>
          <w:rFonts w:ascii="Calibri" w:hAnsi="Calibri" w:cs="Calibri"/>
        </w:rPr>
        <w:t xml:space="preserve"> – w 100%. </w:t>
      </w:r>
    </w:p>
    <w:p w14:paraId="0FC78BC1" w14:textId="77777777" w:rsidR="002B14EC" w:rsidRPr="002B14EC" w:rsidRDefault="002B14EC" w:rsidP="002B14EC">
      <w:pPr>
        <w:tabs>
          <w:tab w:val="num" w:pos="720"/>
        </w:tabs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</w:rPr>
        <w:t xml:space="preserve">W Polsce baza produkcyjna API uległa marginalizacji: mamy tylko ok. 9 zakładów produkujących ponad 57 API z 440 w całej Europie. </w:t>
      </w:r>
    </w:p>
    <w:p w14:paraId="75491DB0" w14:textId="77777777" w:rsidR="002B14EC" w:rsidRPr="002B14EC" w:rsidRDefault="002B14EC" w:rsidP="002B14EC">
      <w:p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i/>
          <w:iCs/>
        </w:rPr>
        <w:t>- Kierowanie unijnych środków na budowę fabryk w krajach trzecich bez wsparcia dla reindustrializacji i re-shoringu w UE oznacza subsydiowanie przyszłych konkurentów</w:t>
      </w:r>
      <w:r w:rsidRPr="002B14EC">
        <w:rPr>
          <w:rFonts w:ascii="Calibri" w:hAnsi="Calibri" w:cs="Calibri"/>
        </w:rPr>
        <w:t xml:space="preserve"> – podkreśla </w:t>
      </w:r>
      <w:r w:rsidRPr="002B14EC">
        <w:rPr>
          <w:rFonts w:ascii="Calibri" w:hAnsi="Calibri" w:cs="Calibri"/>
          <w:b/>
          <w:bCs/>
        </w:rPr>
        <w:t>Michał Modro.</w:t>
      </w:r>
    </w:p>
    <w:p w14:paraId="1104DA15" w14:textId="77777777" w:rsidR="002B14EC" w:rsidRPr="002B14EC" w:rsidRDefault="002B14EC" w:rsidP="002B14EC">
      <w:pPr>
        <w:jc w:val="both"/>
        <w:rPr>
          <w:rFonts w:ascii="Calibri" w:hAnsi="Calibri" w:cs="Calibri"/>
          <w:b/>
          <w:bCs/>
        </w:rPr>
      </w:pPr>
      <w:r w:rsidRPr="002B14EC">
        <w:rPr>
          <w:rFonts w:ascii="Calibri" w:hAnsi="Calibri" w:cs="Calibri"/>
        </w:rPr>
        <w:t>I takie też stanowisko przekazuje Komisja Zdrowia i Rynku Aptecznego BCC Ministerstwu Zdrowia ws. komunikatu Komisji Europejskiej. Najważniejsze rekomendacje to:</w:t>
      </w:r>
    </w:p>
    <w:p w14:paraId="022F15E6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Zasada warunkowości i spójności:</w:t>
      </w:r>
      <w:r w:rsidRPr="002B14EC">
        <w:rPr>
          <w:rFonts w:ascii="Calibri" w:hAnsi="Calibri" w:cs="Calibri"/>
        </w:rPr>
        <w:t xml:space="preserve"> Projekty pomocowe (np. Global Gateway, MAV+) muszą uwzględniać interesy rynku wewnętrznego UE i współgrać z Aktem o lekach o krytycznym znaczeniu (CMA). Wspieranie innych regionów nie może odbywać się kosztem odbudowy produkcji API w Europie, w tym w Europie Środkowo-Wschodniej (EŚW). </w:t>
      </w:r>
    </w:p>
    <w:p w14:paraId="6367C9DB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Obustronna suwerenność zdrowotna:</w:t>
      </w:r>
      <w:r w:rsidRPr="002B14EC">
        <w:rPr>
          <w:rFonts w:ascii="Calibri" w:hAnsi="Calibri" w:cs="Calibri"/>
        </w:rPr>
        <w:t xml:space="preserve"> Pojęcie to powinno odnosić się także do UE poprzez aktywne wspieranie </w:t>
      </w:r>
      <w:r w:rsidRPr="002B14EC">
        <w:rPr>
          <w:rFonts w:ascii="Calibri" w:hAnsi="Calibri" w:cs="Calibri"/>
          <w:i/>
          <w:iCs/>
        </w:rPr>
        <w:t>nearshoringu</w:t>
      </w:r>
      <w:r w:rsidRPr="002B14EC">
        <w:rPr>
          <w:rFonts w:ascii="Calibri" w:hAnsi="Calibri" w:cs="Calibri"/>
        </w:rPr>
        <w:t xml:space="preserve"> i </w:t>
      </w:r>
      <w:r w:rsidRPr="002B14EC">
        <w:rPr>
          <w:rFonts w:ascii="Calibri" w:hAnsi="Calibri" w:cs="Calibri"/>
          <w:i/>
          <w:iCs/>
        </w:rPr>
        <w:t>reshoringu</w:t>
      </w:r>
      <w:r w:rsidRPr="002B14EC">
        <w:rPr>
          <w:rFonts w:ascii="Calibri" w:hAnsi="Calibri" w:cs="Calibri"/>
        </w:rPr>
        <w:t xml:space="preserve">. </w:t>
      </w:r>
    </w:p>
    <w:p w14:paraId="1FB7C455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Kryteria pozacenowe w przetargach (MEAT):</w:t>
      </w:r>
      <w:r w:rsidRPr="002B14EC">
        <w:rPr>
          <w:rFonts w:ascii="Calibri" w:hAnsi="Calibri" w:cs="Calibri"/>
        </w:rPr>
        <w:t xml:space="preserve"> W zamówieniach publicznych należy odejść od kryterium najniższej ceny (które faworyzuje tańszych dostawców z Azji) na rzecz kryteriów jakościowych, bezpieczeństwa dostaw, odporności na zakłócenia oraz rygorów środowiskowych (GMP) spełnianych przez firmy z UE. </w:t>
      </w:r>
    </w:p>
    <w:p w14:paraId="67F3BF54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Rozszerzenie programu gotowości EU FAB:</w:t>
      </w:r>
      <w:r w:rsidRPr="002B14EC">
        <w:rPr>
          <w:rFonts w:ascii="Calibri" w:hAnsi="Calibri" w:cs="Calibri"/>
        </w:rPr>
        <w:t xml:space="preserve"> Instrument ten nie powinien ograniczać się tylko do szczepionek i leków innowacyjnych. Musi objąć producentów leków dojrzałych i generycznych, które generują ogromne oszczędności dla budżetów państw (np. NFZ w Polsce) i stabilizują system w kryzysie. </w:t>
      </w:r>
    </w:p>
    <w:p w14:paraId="0CFFDA2D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lastRenderedPageBreak/>
        <w:t>Polska jako "regionalny hub bezpieczeństwa":</w:t>
      </w:r>
      <w:r w:rsidRPr="002B14EC">
        <w:rPr>
          <w:rFonts w:ascii="Calibri" w:hAnsi="Calibri" w:cs="Calibri"/>
        </w:rPr>
        <w:t xml:space="preserve"> W strategii geopolitycznej należy dążyć do formalnego ugruntowania roli Polski i państw wschodniej flanki UE jako hubu produkcyjno-logistycznego dla sąsiedztwa (np. Ukrainy). </w:t>
      </w:r>
    </w:p>
    <w:p w14:paraId="4E61AFF6" w14:textId="77777777" w:rsidR="002B14EC" w:rsidRPr="002B14EC" w:rsidRDefault="002B14EC" w:rsidP="002B14EC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Sprostowanie dotyczące "ReliefEU":</w:t>
      </w:r>
      <w:r w:rsidRPr="002B14EC">
        <w:rPr>
          <w:rFonts w:ascii="Calibri" w:hAnsi="Calibri" w:cs="Calibri"/>
        </w:rPr>
        <w:t xml:space="preserve"> Analiza potwierdza, że pojęcie "program ReliefEU" użyte w dokumentacji jest poprawne i stanowi nowo wdrożony, legalny instrument pomocy humanitarnej i ochrony ludności DG ECHO, będący następcą m.in. Emergency Toolbox. Branża powinna wycofać swoje zastrzeżenia merytoryczne w tym zakresie, zgłaszając jedynie drobną korektę językową polskiego tłumaczenia.</w:t>
      </w:r>
    </w:p>
    <w:p w14:paraId="176B7007" w14:textId="77777777" w:rsidR="00984F07" w:rsidRPr="002B14EC" w:rsidRDefault="00000000" w:rsidP="00984F07">
      <w:pPr>
        <w:spacing w:after="0" w:line="276" w:lineRule="auto"/>
        <w:rPr>
          <w:rFonts w:ascii="Calibri" w:hAnsi="Calibri" w:cs="Calibri"/>
        </w:rPr>
      </w:pPr>
      <w:r w:rsidRPr="002B14EC">
        <w:rPr>
          <w:rFonts w:ascii="Calibri" w:hAnsi="Calibri" w:cs="Calibri"/>
        </w:rPr>
        <w:pict w14:anchorId="46DF436B">
          <v:rect id="_x0000_i1025" style="width:0;height:1.5pt" o:hralign="center" o:hrstd="t" o:hr="t" fillcolor="#a0a0a0" stroked="f"/>
        </w:pict>
      </w:r>
    </w:p>
    <w:p w14:paraId="0FB5811B" w14:textId="77777777" w:rsidR="00984F07" w:rsidRPr="002B14EC" w:rsidRDefault="00984F07" w:rsidP="00984F07">
      <w:pPr>
        <w:spacing w:after="0" w:line="276" w:lineRule="auto"/>
        <w:rPr>
          <w:rFonts w:ascii="Calibri" w:hAnsi="Calibri" w:cs="Calibri"/>
        </w:rPr>
      </w:pPr>
      <w:r w:rsidRPr="002B14EC">
        <w:rPr>
          <w:rFonts w:ascii="Calibri" w:hAnsi="Calibri" w:cs="Calibri"/>
          <w:b/>
          <w:bCs/>
        </w:rPr>
        <w:t>O Business Centre Club</w:t>
      </w:r>
    </w:p>
    <w:p w14:paraId="4126A401" w14:textId="77777777" w:rsidR="00984F07" w:rsidRPr="002B14EC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B14EC">
        <w:rPr>
          <w:rFonts w:ascii="Calibri" w:hAnsi="Calibri" w:cs="Calibri"/>
        </w:rPr>
        <w:t xml:space="preserve">Business Centre Club to największa i najstarsza w Polsce ustawowa organizacja indywidualnych pracodawców. Zrzesza firmy zatrudniające ponad 400 tysięcy pracowników, których łączne przychody przekraczają 200 miliardów złotych. Działa poprzez 22 loże </w:t>
      </w:r>
      <w:r w:rsidRPr="002B14EC">
        <w:rPr>
          <w:rFonts w:ascii="Calibri" w:hAnsi="Calibri" w:cs="Calibri"/>
          <w:color w:val="000000" w:themeColor="text1"/>
        </w:rPr>
        <w:t>regionalne, skupiając liderów ze wszystkich branż - od korporacji międzynarodowych po sektor MŚP. www.bcc.org.pl</w:t>
      </w:r>
    </w:p>
    <w:p w14:paraId="2946643B" w14:textId="77777777" w:rsidR="00992409" w:rsidRPr="002B14EC" w:rsidRDefault="00992409" w:rsidP="00984F07">
      <w:p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</w:p>
    <w:p w14:paraId="091E4A35" w14:textId="77777777" w:rsidR="002B14EC" w:rsidRPr="002B14EC" w:rsidRDefault="00984F07" w:rsidP="00984F07">
      <w:p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  <w:r w:rsidRPr="002B14EC">
        <w:rPr>
          <w:rFonts w:ascii="Calibri" w:hAnsi="Calibri" w:cs="Calibri"/>
          <w:b/>
          <w:bCs/>
          <w:color w:val="000000" w:themeColor="text1"/>
        </w:rPr>
        <w:t>Kontakt dla mediów:</w:t>
      </w:r>
    </w:p>
    <w:p w14:paraId="53DFB199" w14:textId="1D63DB37" w:rsidR="00992409" w:rsidRPr="002B14EC" w:rsidRDefault="002B14EC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B14EC">
        <w:rPr>
          <w:rFonts w:ascii="Calibri" w:hAnsi="Calibri" w:cs="Calibri"/>
          <w:color w:val="000000" w:themeColor="text1"/>
        </w:rPr>
        <w:t>Biuro prasowe BCC</w:t>
      </w:r>
    </w:p>
    <w:p w14:paraId="6452C1ED" w14:textId="3CECF782" w:rsidR="00984F07" w:rsidRPr="002B14EC" w:rsidRDefault="002B14EC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B14EC">
        <w:rPr>
          <w:rFonts w:ascii="Calibri" w:hAnsi="Calibri" w:cs="Calibri"/>
        </w:rPr>
        <w:t>bccmedia@testa.agency</w:t>
      </w:r>
    </w:p>
    <w:p w14:paraId="13673E5D" w14:textId="09DCFB04" w:rsidR="00412952" w:rsidRPr="00B81B5F" w:rsidRDefault="00412952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</w:p>
    <w:sectPr w:rsidR="00412952" w:rsidRPr="00B81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5B4B"/>
    <w:multiLevelType w:val="multilevel"/>
    <w:tmpl w:val="3C526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237D31"/>
    <w:multiLevelType w:val="multilevel"/>
    <w:tmpl w:val="1ADA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453410">
    <w:abstractNumId w:val="1"/>
  </w:num>
  <w:num w:numId="2" w16cid:durableId="134547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F"/>
    <w:rsid w:val="00022FE2"/>
    <w:rsid w:val="000360CB"/>
    <w:rsid w:val="000E0CAC"/>
    <w:rsid w:val="0011203C"/>
    <w:rsid w:val="00120C71"/>
    <w:rsid w:val="0012285B"/>
    <w:rsid w:val="001456A1"/>
    <w:rsid w:val="001A63FF"/>
    <w:rsid w:val="001E5534"/>
    <w:rsid w:val="00262D4F"/>
    <w:rsid w:val="002732BA"/>
    <w:rsid w:val="002B14EC"/>
    <w:rsid w:val="003318D3"/>
    <w:rsid w:val="003679EE"/>
    <w:rsid w:val="004077AF"/>
    <w:rsid w:val="00412952"/>
    <w:rsid w:val="00437AA1"/>
    <w:rsid w:val="004550AA"/>
    <w:rsid w:val="004F547D"/>
    <w:rsid w:val="00541359"/>
    <w:rsid w:val="00554252"/>
    <w:rsid w:val="006C021A"/>
    <w:rsid w:val="00756EE1"/>
    <w:rsid w:val="007F6A2A"/>
    <w:rsid w:val="0087623C"/>
    <w:rsid w:val="00876A45"/>
    <w:rsid w:val="008C3BBD"/>
    <w:rsid w:val="008D3F96"/>
    <w:rsid w:val="0092393C"/>
    <w:rsid w:val="00984F07"/>
    <w:rsid w:val="00992409"/>
    <w:rsid w:val="00A02946"/>
    <w:rsid w:val="00A13347"/>
    <w:rsid w:val="00A21A52"/>
    <w:rsid w:val="00A57193"/>
    <w:rsid w:val="00AE19F8"/>
    <w:rsid w:val="00AF531D"/>
    <w:rsid w:val="00B30C93"/>
    <w:rsid w:val="00B81B5F"/>
    <w:rsid w:val="00B91BE9"/>
    <w:rsid w:val="00C41A87"/>
    <w:rsid w:val="00CB7A08"/>
    <w:rsid w:val="00CE29EF"/>
    <w:rsid w:val="00D43D33"/>
    <w:rsid w:val="00D84A80"/>
    <w:rsid w:val="00DD673F"/>
    <w:rsid w:val="00DE1C4E"/>
    <w:rsid w:val="00F1528B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C69A"/>
  <w15:chartTrackingRefBased/>
  <w15:docId w15:val="{FE40BB61-E440-4C78-920A-4D4D364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9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29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725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Haładyj Tomasz</dc:creator>
  <cp:lastModifiedBy>Haładyj Tomasz</cp:lastModifiedBy>
  <cp:revision>3</cp:revision>
  <dcterms:created xsi:type="dcterms:W3CDTF">2026-07-15T11:36:00Z</dcterms:created>
  <dcterms:modified xsi:type="dcterms:W3CDTF">2026-07-15T11:44:00Z</dcterms:modified>
</cp:coreProperties>
</file>