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D56CA" w14:textId="738AC7EE" w:rsidR="00D43D33" w:rsidRPr="00FD0B6D" w:rsidRDefault="00D43D33" w:rsidP="00D43D33">
      <w:pPr>
        <w:jc w:val="center"/>
        <w:rPr>
          <w:rFonts w:ascii="Calibri" w:hAnsi="Calibri" w:cs="Calibri"/>
          <w:sz w:val="40"/>
          <w:szCs w:val="40"/>
        </w:rPr>
      </w:pPr>
      <w:r w:rsidRPr="00FD0B6D">
        <w:rPr>
          <w:rFonts w:ascii="Calibri" w:hAnsi="Calibri" w:cs="Calibri"/>
          <w:noProof/>
          <w:sz w:val="40"/>
          <w:szCs w:val="40"/>
        </w:rPr>
        <w:drawing>
          <wp:inline distT="0" distB="0" distL="0" distR="0" wp14:anchorId="2E24D9CB" wp14:editId="715A1E58">
            <wp:extent cx="1828800" cy="2213755"/>
            <wp:effectExtent l="0" t="0" r="0" b="0"/>
            <wp:docPr id="12435177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517746" name="Obraz 12435177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838" cy="224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F2C1" w14:textId="2089260B" w:rsidR="00D43D33" w:rsidRPr="00FD0B6D" w:rsidRDefault="00D43D33" w:rsidP="001A63FF">
      <w:pPr>
        <w:jc w:val="both"/>
        <w:rPr>
          <w:rFonts w:ascii="Calibri" w:hAnsi="Calibri" w:cs="Calibri"/>
        </w:rPr>
      </w:pPr>
      <w:r w:rsidRPr="00FD0B6D">
        <w:rPr>
          <w:rFonts w:ascii="Calibri" w:hAnsi="Calibri" w:cs="Calibri"/>
        </w:rPr>
        <w:t xml:space="preserve">Warszawa, </w:t>
      </w:r>
      <w:r w:rsidR="002B1A13">
        <w:rPr>
          <w:rFonts w:ascii="Calibri" w:hAnsi="Calibri" w:cs="Calibri"/>
        </w:rPr>
        <w:t>15 września 2026</w:t>
      </w:r>
    </w:p>
    <w:p w14:paraId="05B6D4DF" w14:textId="3CF636DF" w:rsidR="00D43D33" w:rsidRPr="00FD0B6D" w:rsidRDefault="002B1A13" w:rsidP="00D43D33">
      <w:pPr>
        <w:spacing w:after="0" w:line="276" w:lineRule="auto"/>
        <w:jc w:val="both"/>
        <w:rPr>
          <w:rFonts w:ascii="Calibri" w:hAnsi="Calibri" w:cs="Calibri"/>
          <w:b/>
          <w:bCs/>
          <w:sz w:val="36"/>
          <w:szCs w:val="36"/>
        </w:rPr>
      </w:pPr>
      <w:proofErr w:type="spellStart"/>
      <w:r>
        <w:rPr>
          <w:rFonts w:ascii="Calibri" w:hAnsi="Calibri" w:cs="Calibri"/>
          <w:b/>
          <w:bCs/>
          <w:sz w:val="36"/>
          <w:szCs w:val="36"/>
        </w:rPr>
        <w:t>BCC</w:t>
      </w:r>
      <w:proofErr w:type="spellEnd"/>
      <w:r>
        <w:rPr>
          <w:rFonts w:ascii="Calibri" w:hAnsi="Calibri" w:cs="Calibri"/>
          <w:b/>
          <w:bCs/>
          <w:sz w:val="36"/>
          <w:szCs w:val="36"/>
        </w:rPr>
        <w:t xml:space="preserve">: </w:t>
      </w:r>
      <w:r w:rsidR="000864EA">
        <w:rPr>
          <w:rFonts w:ascii="Calibri" w:hAnsi="Calibri" w:cs="Calibri"/>
          <w:b/>
          <w:bCs/>
          <w:sz w:val="36"/>
          <w:szCs w:val="36"/>
        </w:rPr>
        <w:t xml:space="preserve">ZMIANY W </w:t>
      </w:r>
      <w:r>
        <w:rPr>
          <w:rFonts w:ascii="Calibri" w:hAnsi="Calibri" w:cs="Calibri"/>
          <w:b/>
          <w:bCs/>
          <w:sz w:val="36"/>
          <w:szCs w:val="36"/>
        </w:rPr>
        <w:t>PROJEK</w:t>
      </w:r>
      <w:r w:rsidR="000864EA">
        <w:rPr>
          <w:rFonts w:ascii="Calibri" w:hAnsi="Calibri" w:cs="Calibri"/>
          <w:b/>
          <w:bCs/>
          <w:sz w:val="36"/>
          <w:szCs w:val="36"/>
        </w:rPr>
        <w:t>CIE</w:t>
      </w:r>
      <w:r>
        <w:rPr>
          <w:rFonts w:ascii="Calibri" w:hAnsi="Calibri" w:cs="Calibri"/>
          <w:b/>
          <w:bCs/>
          <w:sz w:val="36"/>
          <w:szCs w:val="36"/>
        </w:rPr>
        <w:t xml:space="preserve"> TZW. USTAWY PODWYŻKOWEJ</w:t>
      </w:r>
      <w:r w:rsidR="00B07D98">
        <w:rPr>
          <w:rFonts w:ascii="Calibri" w:hAnsi="Calibri" w:cs="Calibri"/>
          <w:b/>
          <w:bCs/>
          <w:sz w:val="36"/>
          <w:szCs w:val="36"/>
        </w:rPr>
        <w:t xml:space="preserve"> W </w:t>
      </w:r>
      <w:r w:rsidR="00C13F78">
        <w:rPr>
          <w:rFonts w:ascii="Calibri" w:hAnsi="Calibri" w:cs="Calibri"/>
          <w:b/>
          <w:bCs/>
          <w:sz w:val="36"/>
          <w:szCs w:val="36"/>
        </w:rPr>
        <w:t>OCHRONIE ZDROWIA</w:t>
      </w:r>
    </w:p>
    <w:p w14:paraId="3AA242F5" w14:textId="77777777" w:rsidR="00CE29EF" w:rsidRDefault="00CE29EF" w:rsidP="00D43D33">
      <w:pPr>
        <w:spacing w:after="0" w:line="276" w:lineRule="auto"/>
        <w:jc w:val="both"/>
        <w:rPr>
          <w:rFonts w:ascii="Calibri" w:hAnsi="Calibri" w:cs="Calibri"/>
        </w:rPr>
      </w:pPr>
    </w:p>
    <w:p w14:paraId="462377A8" w14:textId="191D7A9E" w:rsidR="002B1A13" w:rsidRPr="00D36CCB" w:rsidRDefault="00D36CCB" w:rsidP="002B1A13">
      <w:pPr>
        <w:rPr>
          <w:rFonts w:ascii="Calibri" w:hAnsi="Calibri" w:cs="Calibri"/>
          <w:b/>
          <w:bCs/>
        </w:rPr>
      </w:pPr>
      <w:r w:rsidRPr="00D36CCB">
        <w:rPr>
          <w:rFonts w:ascii="Calibri" w:hAnsi="Calibri" w:cs="Calibri"/>
          <w:b/>
          <w:bCs/>
        </w:rPr>
        <w:t xml:space="preserve">Projekt nadal ewoluuje. Dyskusja podczas posiedzenia Prezydium Trójstronnego Zespołu do Spraw Ochrony Zdrowia nie potwierdza, że mamy już gotową reformę. Przeciwnie – liczba </w:t>
      </w:r>
      <w:proofErr w:type="spellStart"/>
      <w:r w:rsidRPr="00D36CCB">
        <w:rPr>
          <w:rFonts w:ascii="Calibri" w:hAnsi="Calibri" w:cs="Calibri"/>
          <w:b/>
          <w:bCs/>
        </w:rPr>
        <w:t>doprecyzowań</w:t>
      </w:r>
      <w:proofErr w:type="spellEnd"/>
      <w:r w:rsidRPr="00D36CCB">
        <w:rPr>
          <w:rFonts w:ascii="Calibri" w:hAnsi="Calibri" w:cs="Calibri"/>
          <w:b/>
          <w:bCs/>
        </w:rPr>
        <w:t xml:space="preserve"> dotyczących 1/2 etatu, 2 etatów, dyżurów, limitów wynagrodzeń, wyjątków czy okresów przejściowych pokazuje, że pierwotne rozwiązania wymagały korekty – mówi Michał Modro, </w:t>
      </w:r>
      <w:r w:rsidR="005A2B77" w:rsidRPr="00D36CCB">
        <w:rPr>
          <w:rFonts w:ascii="Calibri" w:hAnsi="Calibri" w:cs="Calibri"/>
          <w:b/>
          <w:bCs/>
        </w:rPr>
        <w:t>ekspert Business Centre Club ds. ochrony zdrowia.</w:t>
      </w:r>
    </w:p>
    <w:p w14:paraId="0A109D4F" w14:textId="0CDE9159" w:rsidR="002B1A13" w:rsidRPr="00D36CCB" w:rsidRDefault="002B1A13" w:rsidP="009311D0">
      <w:pPr>
        <w:rPr>
          <w:rFonts w:ascii="Calibri" w:hAnsi="Calibri" w:cs="Calibri"/>
        </w:rPr>
      </w:pPr>
      <w:r w:rsidRPr="00D36CCB">
        <w:rPr>
          <w:rFonts w:ascii="Calibri" w:hAnsi="Calibri" w:cs="Calibri"/>
        </w:rPr>
        <w:t xml:space="preserve">Jednym z głównych tematów </w:t>
      </w:r>
      <w:r w:rsidR="009311D0" w:rsidRPr="00D36CCB">
        <w:rPr>
          <w:rFonts w:ascii="Calibri" w:hAnsi="Calibri" w:cs="Calibri"/>
        </w:rPr>
        <w:t xml:space="preserve">ostatniego </w:t>
      </w:r>
      <w:r w:rsidRPr="00D36CCB">
        <w:rPr>
          <w:rFonts w:ascii="Calibri" w:hAnsi="Calibri" w:cs="Calibri"/>
        </w:rPr>
        <w:t>posiedzenia było przygotowanie do zbierania danych o wynagrodzeniach personelu medycznego za październik 2026 r. Agencja Oceny Technologii Medycznych i Taryfikacji (</w:t>
      </w:r>
      <w:proofErr w:type="spellStart"/>
      <w:r w:rsidRPr="00D36CCB">
        <w:rPr>
          <w:rFonts w:ascii="Calibri" w:hAnsi="Calibri" w:cs="Calibri"/>
        </w:rPr>
        <w:t>AOTMiT</w:t>
      </w:r>
      <w:proofErr w:type="spellEnd"/>
      <w:r w:rsidRPr="00D36CCB">
        <w:rPr>
          <w:rFonts w:ascii="Calibri" w:hAnsi="Calibri" w:cs="Calibri"/>
        </w:rPr>
        <w:t xml:space="preserve">) przedstawiła założenia procesu raportowania, </w:t>
      </w:r>
      <w:r w:rsidR="009311D0" w:rsidRPr="00D36CCB">
        <w:rPr>
          <w:rFonts w:ascii="Calibri" w:hAnsi="Calibri" w:cs="Calibri"/>
        </w:rPr>
        <w:t>a</w:t>
      </w:r>
      <w:r w:rsidRPr="00D36CCB">
        <w:rPr>
          <w:rFonts w:ascii="Calibri" w:hAnsi="Calibri" w:cs="Calibri"/>
        </w:rPr>
        <w:t xml:space="preserve"> NFZ omawiał kwestie związane ze zbieraniem danych o czasie pracy personelu medycznego.</w:t>
      </w:r>
      <w:r w:rsidR="009311D0" w:rsidRPr="00D36CCB">
        <w:rPr>
          <w:rFonts w:ascii="Calibri" w:hAnsi="Calibri" w:cs="Calibri"/>
        </w:rPr>
        <w:t xml:space="preserve"> </w:t>
      </w:r>
      <w:r w:rsidRPr="00D36CCB">
        <w:rPr>
          <w:rFonts w:ascii="Calibri" w:hAnsi="Calibri" w:cs="Calibri"/>
        </w:rPr>
        <w:t>Celem jest przede wszystkim eliminowanie wielokrotnego wykazywania tej samej osoby oraz uzyskanie rzeczywistego obrazu kosztów pracy w systemie.</w:t>
      </w:r>
    </w:p>
    <w:p w14:paraId="3A6F84B7" w14:textId="3627CD8F" w:rsidR="002B1A13" w:rsidRPr="00D36CCB" w:rsidRDefault="009311D0" w:rsidP="002B1A13">
      <w:pPr>
        <w:rPr>
          <w:rFonts w:ascii="Calibri" w:hAnsi="Calibri" w:cs="Calibri"/>
          <w:b/>
          <w:bCs/>
        </w:rPr>
      </w:pPr>
      <w:r w:rsidRPr="00D36CCB">
        <w:rPr>
          <w:rFonts w:ascii="Calibri" w:hAnsi="Calibri" w:cs="Calibri"/>
          <w:i/>
          <w:iCs/>
        </w:rPr>
        <w:t xml:space="preserve">- </w:t>
      </w:r>
      <w:r w:rsidR="002B1A13" w:rsidRPr="00D36CCB">
        <w:rPr>
          <w:rFonts w:ascii="Calibri" w:hAnsi="Calibri" w:cs="Calibri"/>
          <w:i/>
          <w:iCs/>
        </w:rPr>
        <w:t>Z punktu widzenia praktycznego kluczowe będzie jednak nie samo zebranie danych, lecz ich porównywalność: inne mechanizmy wynagradzania występują przy umowie o pracę, inne przy kontrakcie, samozatrudnieniu, dyżurze, dodatkach funkcyjnych czy dodatkowym wynagrodzeniu za świadczenia wymagające szczególnych kwalifikacji</w:t>
      </w:r>
      <w:r w:rsidRPr="00D36CCB">
        <w:rPr>
          <w:rFonts w:ascii="Calibri" w:hAnsi="Calibri" w:cs="Calibri"/>
          <w:i/>
          <w:iCs/>
        </w:rPr>
        <w:t xml:space="preserve"> – </w:t>
      </w:r>
      <w:r w:rsidR="00757E23" w:rsidRPr="00757E23">
        <w:rPr>
          <w:rFonts w:ascii="Calibri" w:hAnsi="Calibri" w:cs="Calibri"/>
        </w:rPr>
        <w:t>podkreśla</w:t>
      </w:r>
      <w:r w:rsidRPr="00757E23">
        <w:rPr>
          <w:rFonts w:ascii="Calibri" w:hAnsi="Calibri" w:cs="Calibri"/>
          <w:b/>
          <w:bCs/>
        </w:rPr>
        <w:t xml:space="preserve"> </w:t>
      </w:r>
      <w:r w:rsidRPr="00D36CCB">
        <w:rPr>
          <w:rFonts w:ascii="Calibri" w:hAnsi="Calibri" w:cs="Calibri"/>
          <w:b/>
          <w:bCs/>
        </w:rPr>
        <w:t>Michał Modro</w:t>
      </w:r>
      <w:r w:rsidR="002B1A13" w:rsidRPr="00D36CCB">
        <w:rPr>
          <w:rFonts w:ascii="Calibri" w:hAnsi="Calibri" w:cs="Calibri"/>
          <w:b/>
          <w:bCs/>
        </w:rPr>
        <w:t>.</w:t>
      </w:r>
    </w:p>
    <w:p w14:paraId="23947F4F" w14:textId="3F78CB1F" w:rsidR="002B1A13" w:rsidRPr="00D36CCB" w:rsidRDefault="002B1A13" w:rsidP="002B1A13">
      <w:pPr>
        <w:rPr>
          <w:rFonts w:ascii="Calibri" w:hAnsi="Calibri" w:cs="Calibri"/>
          <w:b/>
          <w:bCs/>
        </w:rPr>
      </w:pPr>
      <w:r w:rsidRPr="00D36CCB">
        <w:rPr>
          <w:rFonts w:ascii="Calibri" w:hAnsi="Calibri" w:cs="Calibri"/>
        </w:rPr>
        <w:t xml:space="preserve">Z przedstawionych podczas spotkania informacji wynika, że pierwotne założenia projektu </w:t>
      </w:r>
      <w:r w:rsidR="009311D0" w:rsidRPr="00D36CCB">
        <w:rPr>
          <w:rFonts w:ascii="Calibri" w:hAnsi="Calibri" w:cs="Calibri"/>
        </w:rPr>
        <w:t xml:space="preserve">ustawy </w:t>
      </w:r>
      <w:r w:rsidRPr="00D36CCB">
        <w:rPr>
          <w:rFonts w:ascii="Calibri" w:hAnsi="Calibri" w:cs="Calibri"/>
        </w:rPr>
        <w:t xml:space="preserve">zostały w szeregu miejsc doprecyzowane lub zmodyfikowane. </w:t>
      </w:r>
      <w:r w:rsidR="009311D0" w:rsidRPr="00D36CCB">
        <w:rPr>
          <w:rFonts w:ascii="Calibri" w:hAnsi="Calibri" w:cs="Calibri"/>
          <w:b/>
          <w:bCs/>
          <w:i/>
          <w:iCs/>
        </w:rPr>
        <w:t xml:space="preserve">- </w:t>
      </w:r>
      <w:r w:rsidRPr="00D36CCB">
        <w:rPr>
          <w:rFonts w:ascii="Calibri" w:hAnsi="Calibri" w:cs="Calibri"/>
          <w:i/>
          <w:iCs/>
        </w:rPr>
        <w:t>Jest to istotne, ponieważ pierwotny projekt zakładał m.in. maksymalnie dwa etaty, co najmniej 1/2 etatu w określonych przypadkach, obowiązek bezpośredniej umowy ze świadczeniodawcą oraz ograniczenia wynagrodzeń</w:t>
      </w:r>
      <w:r w:rsidR="009311D0" w:rsidRPr="00D36CCB">
        <w:rPr>
          <w:rFonts w:ascii="Calibri" w:hAnsi="Calibri" w:cs="Calibri"/>
          <w:i/>
          <w:iCs/>
        </w:rPr>
        <w:t xml:space="preserve"> –</w:t>
      </w:r>
      <w:r w:rsidR="009311D0" w:rsidRPr="00D36CCB">
        <w:rPr>
          <w:rFonts w:ascii="Calibri" w:hAnsi="Calibri" w:cs="Calibri"/>
          <w:b/>
          <w:bCs/>
        </w:rPr>
        <w:t xml:space="preserve"> mówi Michał Modro.</w:t>
      </w:r>
    </w:p>
    <w:p w14:paraId="1AAC85A7" w14:textId="73F399F6" w:rsidR="009311D0" w:rsidRPr="00D36CCB" w:rsidRDefault="009311D0" w:rsidP="002B1A13">
      <w:pPr>
        <w:rPr>
          <w:rFonts w:ascii="Calibri" w:hAnsi="Calibri" w:cs="Calibri"/>
        </w:rPr>
      </w:pPr>
      <w:r w:rsidRPr="00D36CCB">
        <w:rPr>
          <w:rFonts w:ascii="Calibri" w:hAnsi="Calibri" w:cs="Calibri"/>
        </w:rPr>
        <w:t>I tak</w:t>
      </w:r>
      <w:r w:rsidR="00757E23">
        <w:rPr>
          <w:rFonts w:ascii="Calibri" w:hAnsi="Calibri" w:cs="Calibri"/>
        </w:rPr>
        <w:t xml:space="preserve"> m.in.</w:t>
      </w:r>
      <w:r w:rsidRPr="00D36CCB">
        <w:rPr>
          <w:rFonts w:ascii="Calibri" w:hAnsi="Calibri" w:cs="Calibri"/>
        </w:rPr>
        <w:t>:</w:t>
      </w:r>
    </w:p>
    <w:p w14:paraId="6E803338" w14:textId="77777777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  <w:b/>
          <w:bCs/>
        </w:rPr>
        <w:lastRenderedPageBreak/>
        <w:t>limit czasu pracy</w:t>
      </w:r>
      <w:r w:rsidRPr="00D36CCB">
        <w:rPr>
          <w:rFonts w:ascii="Calibri" w:hAnsi="Calibri" w:cs="Calibri"/>
        </w:rPr>
        <w:t> – doprecyzowano sposób rozumienia wymiaru czasu pracy oraz objęcie regulacją także osób wykonujących świadczenia w formule samozatrudnienia/umów cywilnoprawnych;</w:t>
      </w:r>
    </w:p>
    <w:p w14:paraId="4739D0B9" w14:textId="24C4EB86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  <w:b/>
          <w:bCs/>
        </w:rPr>
        <w:t>zasada dwóch etatów</w:t>
      </w:r>
      <w:r w:rsidRPr="00D36CCB">
        <w:rPr>
          <w:rFonts w:ascii="Calibri" w:hAnsi="Calibri" w:cs="Calibri"/>
        </w:rPr>
        <w:t xml:space="preserve"> nie ma być traktowana całkowicie mechanicznie; projekt przewiduje </w:t>
      </w:r>
      <w:r w:rsidR="009311D0" w:rsidRPr="00D36CCB">
        <w:rPr>
          <w:rFonts w:ascii="Calibri" w:hAnsi="Calibri" w:cs="Calibri"/>
        </w:rPr>
        <w:t>ścieżki</w:t>
      </w:r>
      <w:r w:rsidRPr="00D36CCB">
        <w:rPr>
          <w:rFonts w:ascii="Calibri" w:hAnsi="Calibri" w:cs="Calibri"/>
        </w:rPr>
        <w:t xml:space="preserve"> odstępstw służące zabezpieczeniu dostępności świadczeń;</w:t>
      </w:r>
    </w:p>
    <w:p w14:paraId="100919E8" w14:textId="77777777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  <w:b/>
          <w:bCs/>
        </w:rPr>
        <w:t>zasada minimum 1/2 etatu</w:t>
      </w:r>
      <w:r w:rsidRPr="00D36CCB">
        <w:rPr>
          <w:rFonts w:ascii="Calibri" w:hAnsi="Calibri" w:cs="Calibri"/>
        </w:rPr>
        <w:t> została doprecyzowana. Nie powinna prowadzić do wymuszania 1/2 etatu tam, gdzie charakter lub zakres świadczeń wynikający z umowy z NFZ uzasadnia mniejszy wymiar;</w:t>
      </w:r>
    </w:p>
    <w:p w14:paraId="4833A4CF" w14:textId="77777777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</w:rPr>
        <w:t>przewidziano wyjątki dotyczące m.in. </w:t>
      </w:r>
      <w:r w:rsidRPr="00D36CCB">
        <w:rPr>
          <w:rFonts w:ascii="Calibri" w:hAnsi="Calibri" w:cs="Calibri"/>
          <w:b/>
          <w:bCs/>
        </w:rPr>
        <w:t>dyżurów oraz sytuacji wymagających zabezpieczenia świadczeń</w:t>
      </w:r>
      <w:r w:rsidRPr="00D36CCB">
        <w:rPr>
          <w:rFonts w:ascii="Calibri" w:hAnsi="Calibri" w:cs="Calibri"/>
        </w:rPr>
        <w:t>; dyskutowano również problem wykonywania planowych świadczeń w czasie dyżuru;</w:t>
      </w:r>
    </w:p>
    <w:p w14:paraId="2A421219" w14:textId="77777777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</w:rPr>
        <w:t>ograniczenia mają być w większym stopniu kierowane do osób </w:t>
      </w:r>
      <w:r w:rsidRPr="00D36CCB">
        <w:rPr>
          <w:rFonts w:ascii="Calibri" w:hAnsi="Calibri" w:cs="Calibri"/>
          <w:b/>
          <w:bCs/>
        </w:rPr>
        <w:t>bezpośrednio uczestniczących w udzielaniu świadczeń pacjentom</w:t>
      </w:r>
      <w:r w:rsidRPr="00D36CCB">
        <w:rPr>
          <w:rFonts w:ascii="Calibri" w:hAnsi="Calibri" w:cs="Calibri"/>
        </w:rPr>
        <w:t>, aby regulacja nie obejmowała automatycznie każdego przypadku zatrudnienia w podmiocie;</w:t>
      </w:r>
    </w:p>
    <w:p w14:paraId="43BD1C7B" w14:textId="77777777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</w:rPr>
        <w:t>doprecyzowano wymagania dotyczące treści umów z personelem medycznym;</w:t>
      </w:r>
    </w:p>
    <w:p w14:paraId="48FA62EA" w14:textId="77777777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</w:rPr>
        <w:t>dyskutowano mechanizm limitowania wynagrodzeń: przy jednym pełnym wymiarze punktem odniesienia jest </w:t>
      </w:r>
      <w:r w:rsidRPr="00D36CCB">
        <w:rPr>
          <w:rFonts w:ascii="Calibri" w:hAnsi="Calibri" w:cs="Calibri"/>
          <w:b/>
          <w:bCs/>
        </w:rPr>
        <w:t>8-krotność minimalnego wynagrodzenia</w:t>
      </w:r>
      <w:r w:rsidRPr="00D36CCB">
        <w:rPr>
          <w:rFonts w:ascii="Calibri" w:hAnsi="Calibri" w:cs="Calibri"/>
        </w:rPr>
        <w:t>, a przy przewidzianych dodatkowych zadaniach i dodatkach możliwy byłby poziom do </w:t>
      </w:r>
      <w:r w:rsidRPr="00D36CCB">
        <w:rPr>
          <w:rFonts w:ascii="Calibri" w:hAnsi="Calibri" w:cs="Calibri"/>
          <w:b/>
          <w:bCs/>
        </w:rPr>
        <w:t>12-krotności</w:t>
      </w:r>
      <w:r w:rsidRPr="00D36CCB">
        <w:rPr>
          <w:rFonts w:ascii="Calibri" w:hAnsi="Calibri" w:cs="Calibri"/>
        </w:rPr>
        <w:t>; całkowity limit przy maksymalnym wymiarze pracy pozostaje powiązany z </w:t>
      </w:r>
      <w:r w:rsidRPr="00D36CCB">
        <w:rPr>
          <w:rFonts w:ascii="Calibri" w:hAnsi="Calibri" w:cs="Calibri"/>
          <w:b/>
          <w:bCs/>
        </w:rPr>
        <w:t>16-krotnością wynagrodzenia minimalnego</w:t>
      </w:r>
      <w:r w:rsidRPr="00D36CCB">
        <w:rPr>
          <w:rFonts w:ascii="Calibri" w:hAnsi="Calibri" w:cs="Calibri"/>
        </w:rPr>
        <w:t>. Taki kierunek wyjaśniało również wcześniej Ministerstwo Zdrowia.</w:t>
      </w:r>
    </w:p>
    <w:p w14:paraId="48B188BE" w14:textId="59664DB8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</w:rPr>
        <w:t>doprecyzowywano kwestie </w:t>
      </w:r>
      <w:r w:rsidRPr="00D36CCB">
        <w:rPr>
          <w:rFonts w:ascii="Calibri" w:hAnsi="Calibri" w:cs="Calibri"/>
          <w:b/>
          <w:bCs/>
        </w:rPr>
        <w:t xml:space="preserve">weryfikacji stosowania standardu rachunku kosztów przez </w:t>
      </w:r>
      <w:proofErr w:type="spellStart"/>
      <w:r w:rsidRPr="00D36CCB">
        <w:rPr>
          <w:rFonts w:ascii="Calibri" w:hAnsi="Calibri" w:cs="Calibri"/>
          <w:b/>
          <w:bCs/>
        </w:rPr>
        <w:t>AOTMiT</w:t>
      </w:r>
      <w:proofErr w:type="spellEnd"/>
      <w:r w:rsidRPr="00D36CCB">
        <w:rPr>
          <w:rFonts w:ascii="Calibri" w:hAnsi="Calibri" w:cs="Calibri"/>
        </w:rPr>
        <w:t xml:space="preserve">; potrzeba takiego mechanizmu jest jednym z oficjalnych celów projektu </w:t>
      </w:r>
      <w:r w:rsidR="009311D0" w:rsidRPr="00D36CCB">
        <w:rPr>
          <w:rFonts w:ascii="Calibri" w:hAnsi="Calibri" w:cs="Calibri"/>
        </w:rPr>
        <w:t>ustawy</w:t>
      </w:r>
      <w:r w:rsidRPr="00D36CCB">
        <w:rPr>
          <w:rFonts w:ascii="Calibri" w:hAnsi="Calibri" w:cs="Calibri"/>
        </w:rPr>
        <w:t>.</w:t>
      </w:r>
    </w:p>
    <w:p w14:paraId="397E9291" w14:textId="0EA5B243" w:rsidR="002B1A13" w:rsidRPr="00D36CCB" w:rsidRDefault="002B1A13" w:rsidP="002B1A13">
      <w:pPr>
        <w:numPr>
          <w:ilvl w:val="0"/>
          <w:numId w:val="2"/>
        </w:numPr>
        <w:rPr>
          <w:rFonts w:ascii="Calibri" w:hAnsi="Calibri" w:cs="Calibri"/>
        </w:rPr>
      </w:pPr>
      <w:r w:rsidRPr="00D36CCB">
        <w:rPr>
          <w:rFonts w:ascii="Calibri" w:hAnsi="Calibri" w:cs="Calibri"/>
        </w:rPr>
        <w:t>zmiana konstrukcji przepisów przejściowych: </w:t>
      </w:r>
      <w:r w:rsidRPr="00D36CCB">
        <w:rPr>
          <w:rFonts w:ascii="Calibri" w:hAnsi="Calibri" w:cs="Calibri"/>
          <w:b/>
          <w:bCs/>
        </w:rPr>
        <w:t>30 dni na wejście nowych zasad oraz dłuższy – 12-miesięczny – okres dostosowawczy dla istniejących relacji umownych</w:t>
      </w:r>
      <w:r w:rsidRPr="00D36CCB">
        <w:rPr>
          <w:rFonts w:ascii="Calibri" w:hAnsi="Calibri" w:cs="Calibri"/>
        </w:rPr>
        <w:t>, podczas gdy nowe umowy miałyby już podlegać nowym zasadom.</w:t>
      </w:r>
      <w:r w:rsidR="009311D0" w:rsidRPr="00D36CCB">
        <w:rPr>
          <w:rFonts w:ascii="Calibri" w:hAnsi="Calibri" w:cs="Calibri"/>
        </w:rPr>
        <w:t xml:space="preserve"> Z tym, że to na razie ustalenia robocze</w:t>
      </w:r>
      <w:r w:rsidRPr="00D36CCB">
        <w:rPr>
          <w:rFonts w:ascii="Calibri" w:hAnsi="Calibri" w:cs="Calibri"/>
        </w:rPr>
        <w:t>.</w:t>
      </w:r>
    </w:p>
    <w:p w14:paraId="2086E509" w14:textId="667C65F3" w:rsidR="002B1A13" w:rsidRPr="00757E23" w:rsidRDefault="002B1A13" w:rsidP="002B1A13">
      <w:pPr>
        <w:rPr>
          <w:rFonts w:ascii="Calibri" w:hAnsi="Calibri" w:cs="Calibri"/>
          <w:b/>
          <w:bCs/>
        </w:rPr>
      </w:pPr>
      <w:r w:rsidRPr="00757E23">
        <w:rPr>
          <w:rFonts w:ascii="Calibri" w:hAnsi="Calibri" w:cs="Calibri"/>
          <w:i/>
          <w:iCs/>
        </w:rPr>
        <w:t>- Polska pozostaje systemem z ograniczoną liczbą części grup personelu medycznego, dlatego zbyt sztywne ograniczenie możliwości pracy w kilku podmiotach może w niektórych regionach pogorszyć dostępność, zamiast ją poprawić. Sam rząd uzasadnia projekt właśnie niedoborem kadr medycznych</w:t>
      </w:r>
      <w:r w:rsidRPr="00D36CCB">
        <w:rPr>
          <w:rFonts w:ascii="Calibri" w:hAnsi="Calibri" w:cs="Calibri"/>
        </w:rPr>
        <w:t xml:space="preserve"> </w:t>
      </w:r>
      <w:r w:rsidR="00757E23">
        <w:rPr>
          <w:rFonts w:ascii="Calibri" w:hAnsi="Calibri" w:cs="Calibri"/>
        </w:rPr>
        <w:t>–</w:t>
      </w:r>
      <w:r w:rsidRPr="00D36CCB">
        <w:rPr>
          <w:rFonts w:ascii="Calibri" w:hAnsi="Calibri" w:cs="Calibri"/>
        </w:rPr>
        <w:t xml:space="preserve"> </w:t>
      </w:r>
      <w:r w:rsidR="00757E23">
        <w:rPr>
          <w:rFonts w:ascii="Calibri" w:hAnsi="Calibri" w:cs="Calibri"/>
        </w:rPr>
        <w:t xml:space="preserve">zauważa </w:t>
      </w:r>
      <w:r w:rsidR="00757E23" w:rsidRPr="00757E23">
        <w:rPr>
          <w:rFonts w:ascii="Calibri" w:hAnsi="Calibri" w:cs="Calibri"/>
          <w:b/>
          <w:bCs/>
        </w:rPr>
        <w:t xml:space="preserve">Michał </w:t>
      </w:r>
      <w:r w:rsidRPr="00757E23">
        <w:rPr>
          <w:rFonts w:ascii="Calibri" w:hAnsi="Calibri" w:cs="Calibri"/>
          <w:b/>
          <w:bCs/>
        </w:rPr>
        <w:t>Modro.</w:t>
      </w:r>
    </w:p>
    <w:p w14:paraId="176B7007" w14:textId="77777777" w:rsidR="00984F07" w:rsidRPr="00984F07" w:rsidRDefault="00000000" w:rsidP="00984F07">
      <w:p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pict w14:anchorId="46DF436B">
          <v:rect id="_x0000_i1025" style="width:0;height:1.5pt" o:hralign="center" o:hrstd="t" o:hr="t" fillcolor="#a0a0a0" stroked="f"/>
        </w:pict>
      </w:r>
    </w:p>
    <w:p w14:paraId="0FB5811B" w14:textId="77777777" w:rsidR="00984F07" w:rsidRPr="00984F07" w:rsidRDefault="00984F07" w:rsidP="00984F07">
      <w:pPr>
        <w:spacing w:after="0" w:line="276" w:lineRule="auto"/>
        <w:rPr>
          <w:rFonts w:ascii="Calibri" w:hAnsi="Calibri" w:cs="Calibri"/>
        </w:rPr>
      </w:pPr>
      <w:r w:rsidRPr="00984F07">
        <w:rPr>
          <w:rFonts w:ascii="Calibri" w:hAnsi="Calibri" w:cs="Calibri"/>
          <w:b/>
          <w:bCs/>
        </w:rPr>
        <w:t>O Business Centre Club</w:t>
      </w:r>
    </w:p>
    <w:p w14:paraId="4126A401" w14:textId="087AC9B6" w:rsidR="00984F07" w:rsidRDefault="00984F07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984F07">
        <w:rPr>
          <w:rFonts w:ascii="Calibri" w:hAnsi="Calibri" w:cs="Calibri"/>
        </w:rPr>
        <w:t xml:space="preserve">Business Centre Club to największa i najstarsza w Polsce ustawowa organizacja indywidualnych pracodawców. Zrzesza firmy zatrudniające ponad 400 tysięcy pracowników, </w:t>
      </w:r>
      <w:r w:rsidRPr="00984F07">
        <w:rPr>
          <w:rFonts w:ascii="Calibri" w:hAnsi="Calibri" w:cs="Calibri"/>
        </w:rPr>
        <w:lastRenderedPageBreak/>
        <w:t xml:space="preserve">których łączne przychody przekraczają 200 miliardów złotych. Działa poprzez 22 loże </w:t>
      </w:r>
      <w:r w:rsidRPr="00B81B5F">
        <w:rPr>
          <w:rFonts w:ascii="Calibri" w:hAnsi="Calibri" w:cs="Calibri"/>
          <w:color w:val="000000" w:themeColor="text1"/>
        </w:rPr>
        <w:t xml:space="preserve">regionalne, skupiając liderów ze wszystkich branż - od korporacji międzynarodowych po sektor MŚP. </w:t>
      </w:r>
      <w:hyperlink r:id="rId6" w:history="1">
        <w:r w:rsidR="00A87C53" w:rsidRPr="00AA16A3">
          <w:rPr>
            <w:rStyle w:val="Hipercze"/>
            <w:rFonts w:ascii="Calibri" w:hAnsi="Calibri" w:cs="Calibri"/>
          </w:rPr>
          <w:t>www.bcc.org.pl</w:t>
        </w:r>
      </w:hyperlink>
    </w:p>
    <w:p w14:paraId="2C967BCF" w14:textId="77777777" w:rsidR="00A87C53" w:rsidRDefault="00A87C53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</w:p>
    <w:p w14:paraId="026E80E0" w14:textId="57566AA7" w:rsidR="00984F07" w:rsidRPr="00B81B5F" w:rsidRDefault="00984F07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B81B5F">
        <w:rPr>
          <w:rFonts w:ascii="Calibri" w:hAnsi="Calibri" w:cs="Calibri"/>
          <w:b/>
          <w:bCs/>
          <w:color w:val="000000" w:themeColor="text1"/>
        </w:rPr>
        <w:t>Kontakt dla mediów:</w:t>
      </w:r>
    </w:p>
    <w:p w14:paraId="0CDB624A" w14:textId="1E7977EB" w:rsidR="00992409" w:rsidRPr="007C6912" w:rsidRDefault="00A87C53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r w:rsidRPr="007C6912">
        <w:rPr>
          <w:rFonts w:ascii="Calibri" w:hAnsi="Calibri" w:cs="Calibri"/>
          <w:color w:val="000000" w:themeColor="text1"/>
        </w:rPr>
        <w:t>Biuro prasowe Business Centre Club</w:t>
      </w:r>
      <w:r w:rsidR="00984F07" w:rsidRPr="007C6912">
        <w:rPr>
          <w:rFonts w:ascii="Calibri" w:hAnsi="Calibri" w:cs="Calibri"/>
          <w:color w:val="000000" w:themeColor="text1"/>
        </w:rPr>
        <w:t xml:space="preserve"> </w:t>
      </w:r>
    </w:p>
    <w:p w14:paraId="13673E5D" w14:textId="66561BDF" w:rsidR="00412952" w:rsidRPr="00B81B5F" w:rsidRDefault="00A87C53" w:rsidP="00984F07">
      <w:pPr>
        <w:spacing w:after="0" w:line="276" w:lineRule="auto"/>
        <w:rPr>
          <w:rFonts w:ascii="Calibri" w:hAnsi="Calibri" w:cs="Calibri"/>
          <w:color w:val="000000" w:themeColor="text1"/>
        </w:rPr>
      </w:pPr>
      <w:hyperlink r:id="rId7" w:history="1">
        <w:r w:rsidRPr="00AA16A3">
          <w:rPr>
            <w:rStyle w:val="Hipercze"/>
          </w:rPr>
          <w:t>bccmedia</w:t>
        </w:r>
        <w:r w:rsidRPr="00AA16A3">
          <w:rPr>
            <w:rStyle w:val="Hipercze"/>
            <w:rFonts w:ascii="Calibri" w:hAnsi="Calibri" w:cs="Calibri"/>
          </w:rPr>
          <w:t>@testa.agency</w:t>
        </w:r>
      </w:hyperlink>
    </w:p>
    <w:sectPr w:rsidR="00412952" w:rsidRPr="00B81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27ACD"/>
    <w:multiLevelType w:val="multilevel"/>
    <w:tmpl w:val="CF16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E41AC2"/>
    <w:multiLevelType w:val="multilevel"/>
    <w:tmpl w:val="8A48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81863">
    <w:abstractNumId w:val="1"/>
  </w:num>
  <w:num w:numId="2" w16cid:durableId="196719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EF"/>
    <w:rsid w:val="00022FE2"/>
    <w:rsid w:val="000360CB"/>
    <w:rsid w:val="000864EA"/>
    <w:rsid w:val="000E0CAC"/>
    <w:rsid w:val="0011203C"/>
    <w:rsid w:val="00120C71"/>
    <w:rsid w:val="0012285B"/>
    <w:rsid w:val="001456A1"/>
    <w:rsid w:val="001A63FF"/>
    <w:rsid w:val="001E5534"/>
    <w:rsid w:val="00262D4F"/>
    <w:rsid w:val="002732BA"/>
    <w:rsid w:val="002B1A13"/>
    <w:rsid w:val="003318D3"/>
    <w:rsid w:val="003679EE"/>
    <w:rsid w:val="00412952"/>
    <w:rsid w:val="00437AA1"/>
    <w:rsid w:val="004550AA"/>
    <w:rsid w:val="004C0590"/>
    <w:rsid w:val="004D6A66"/>
    <w:rsid w:val="004F547D"/>
    <w:rsid w:val="00541359"/>
    <w:rsid w:val="00551C7F"/>
    <w:rsid w:val="00554252"/>
    <w:rsid w:val="00576330"/>
    <w:rsid w:val="005A2B77"/>
    <w:rsid w:val="005F0876"/>
    <w:rsid w:val="006C021A"/>
    <w:rsid w:val="00757E23"/>
    <w:rsid w:val="007C6912"/>
    <w:rsid w:val="007F6A2A"/>
    <w:rsid w:val="0081385E"/>
    <w:rsid w:val="0087623C"/>
    <w:rsid w:val="00876A45"/>
    <w:rsid w:val="008C3BBD"/>
    <w:rsid w:val="008D3F96"/>
    <w:rsid w:val="0092393C"/>
    <w:rsid w:val="009311D0"/>
    <w:rsid w:val="00984F07"/>
    <w:rsid w:val="00992409"/>
    <w:rsid w:val="00A02946"/>
    <w:rsid w:val="00A13347"/>
    <w:rsid w:val="00A21A52"/>
    <w:rsid w:val="00A57193"/>
    <w:rsid w:val="00A87C53"/>
    <w:rsid w:val="00AE19F8"/>
    <w:rsid w:val="00AF531D"/>
    <w:rsid w:val="00B07D98"/>
    <w:rsid w:val="00B30C93"/>
    <w:rsid w:val="00B81B5F"/>
    <w:rsid w:val="00B91BE9"/>
    <w:rsid w:val="00C13F78"/>
    <w:rsid w:val="00C41A87"/>
    <w:rsid w:val="00CB7A08"/>
    <w:rsid w:val="00CE29EF"/>
    <w:rsid w:val="00D36CCB"/>
    <w:rsid w:val="00D43D33"/>
    <w:rsid w:val="00D84A80"/>
    <w:rsid w:val="00DD673F"/>
    <w:rsid w:val="00DE1C4E"/>
    <w:rsid w:val="00F1528B"/>
    <w:rsid w:val="00FD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C69A"/>
  <w15:chartTrackingRefBased/>
  <w15:docId w15:val="{FE40BB61-E440-4C78-920A-4D4D3643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CCB"/>
  </w:style>
  <w:style w:type="paragraph" w:styleId="Nagwek1">
    <w:name w:val="heading 1"/>
    <w:basedOn w:val="Normalny"/>
    <w:next w:val="Normalny"/>
    <w:link w:val="Nagwek1Znak"/>
    <w:uiPriority w:val="9"/>
    <w:qFormat/>
    <w:rsid w:val="00CE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2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2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2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2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29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29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29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29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29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29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29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29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29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2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29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29E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E29E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9E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87C5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ccmedia@testa.agen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cc.org.pl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628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Haładyj Tomasz</dc:creator>
  <cp:lastModifiedBy>Haładyj Tomasz</cp:lastModifiedBy>
  <cp:revision>7</cp:revision>
  <dcterms:created xsi:type="dcterms:W3CDTF">2026-09-16T10:20:00Z</dcterms:created>
  <dcterms:modified xsi:type="dcterms:W3CDTF">2026-09-16T11:09:00Z</dcterms:modified>
</cp:coreProperties>
</file>